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E91" w:rsidRDefault="00085374" w:rsidP="003C1125">
      <w:pPr>
        <w:autoSpaceDE w:val="0"/>
        <w:autoSpaceDN w:val="0"/>
        <w:adjustRightInd w:val="0"/>
        <w:jc w:val="center"/>
        <w:rPr>
          <w:rFonts w:cstheme="minorHAnsi"/>
          <w:b/>
          <w:bCs/>
          <w:color w:val="009B51"/>
          <w:sz w:val="24"/>
          <w:szCs w:val="24"/>
        </w:rPr>
      </w:pPr>
      <w:r>
        <w:rPr>
          <w:rFonts w:cstheme="minorHAnsi"/>
          <w:b/>
          <w:bCs/>
          <w:color w:val="009B51"/>
          <w:sz w:val="24"/>
          <w:szCs w:val="24"/>
        </w:rPr>
        <w:t>SYSTÈ</w:t>
      </w:r>
      <w:r w:rsidR="00322E91" w:rsidRPr="00322E91">
        <w:rPr>
          <w:rFonts w:cstheme="minorHAnsi"/>
          <w:b/>
          <w:bCs/>
          <w:color w:val="009B51"/>
          <w:sz w:val="24"/>
          <w:szCs w:val="24"/>
        </w:rPr>
        <w:t>ME DE V</w:t>
      </w:r>
      <w:r>
        <w:rPr>
          <w:rFonts w:cstheme="minorHAnsi"/>
          <w:b/>
          <w:bCs/>
          <w:color w:val="009B51"/>
          <w:sz w:val="24"/>
          <w:szCs w:val="24"/>
        </w:rPr>
        <w:t>É</w:t>
      </w:r>
      <w:r w:rsidR="00322E91" w:rsidRPr="00322E91">
        <w:rPr>
          <w:rFonts w:cstheme="minorHAnsi"/>
          <w:b/>
          <w:bCs/>
          <w:color w:val="009B51"/>
          <w:sz w:val="24"/>
          <w:szCs w:val="24"/>
        </w:rPr>
        <w:t>G</w:t>
      </w:r>
      <w:r>
        <w:rPr>
          <w:rFonts w:cstheme="minorHAnsi"/>
          <w:b/>
          <w:bCs/>
          <w:color w:val="009B51"/>
          <w:sz w:val="24"/>
          <w:szCs w:val="24"/>
        </w:rPr>
        <w:t>É</w:t>
      </w:r>
      <w:r w:rsidR="00322E91" w:rsidRPr="00322E91">
        <w:rPr>
          <w:rFonts w:cstheme="minorHAnsi"/>
          <w:b/>
          <w:bCs/>
          <w:color w:val="009B51"/>
          <w:sz w:val="24"/>
          <w:szCs w:val="24"/>
        </w:rPr>
        <w:t>TALISATION OPTIGREEN "</w:t>
      </w:r>
      <w:r w:rsidR="00D808C8">
        <w:rPr>
          <w:rFonts w:cstheme="minorHAnsi"/>
          <w:b/>
          <w:bCs/>
          <w:color w:val="009B51"/>
          <w:sz w:val="24"/>
          <w:szCs w:val="24"/>
        </w:rPr>
        <w:t>TOITVERT PACK</w:t>
      </w:r>
      <w:r w:rsidR="00322E91" w:rsidRPr="00322E91">
        <w:rPr>
          <w:rFonts w:cstheme="minorHAnsi"/>
          <w:b/>
          <w:bCs/>
          <w:color w:val="009B51"/>
          <w:sz w:val="24"/>
          <w:szCs w:val="24"/>
        </w:rPr>
        <w:t>"</w:t>
      </w:r>
    </w:p>
    <w:p w:rsidR="00D808C8" w:rsidRPr="00322E91" w:rsidRDefault="00D808C8" w:rsidP="003C1125">
      <w:pPr>
        <w:autoSpaceDE w:val="0"/>
        <w:autoSpaceDN w:val="0"/>
        <w:adjustRightInd w:val="0"/>
        <w:jc w:val="center"/>
        <w:rPr>
          <w:rFonts w:cstheme="minorHAnsi"/>
          <w:b/>
          <w:bCs/>
          <w:color w:val="009B51"/>
          <w:sz w:val="24"/>
          <w:szCs w:val="24"/>
        </w:rPr>
      </w:pPr>
      <w:r>
        <w:rPr>
          <w:rFonts w:cstheme="minorHAnsi"/>
          <w:b/>
          <w:bCs/>
          <w:color w:val="009B51"/>
          <w:sz w:val="24"/>
          <w:szCs w:val="24"/>
        </w:rPr>
        <w:t>Végétalisation extensive sur support de 0 à 35%</w:t>
      </w:r>
    </w:p>
    <w:p w:rsidR="003C1125" w:rsidRDefault="00322E91" w:rsidP="003C1125">
      <w:pPr>
        <w:autoSpaceDE w:val="0"/>
        <w:autoSpaceDN w:val="0"/>
        <w:adjustRightInd w:val="0"/>
        <w:jc w:val="center"/>
        <w:rPr>
          <w:rFonts w:cstheme="minorHAnsi"/>
          <w:bCs/>
          <w:color w:val="000000"/>
          <w:sz w:val="20"/>
          <w:szCs w:val="20"/>
        </w:rPr>
      </w:pPr>
      <w:r>
        <w:rPr>
          <w:rFonts w:cstheme="minorHAnsi"/>
          <w:b/>
          <w:bCs/>
          <w:color w:val="009B51"/>
          <w:sz w:val="20"/>
          <w:szCs w:val="20"/>
        </w:rPr>
        <w:t>CCTP TYPE</w:t>
      </w:r>
    </w:p>
    <w:p w:rsidR="003C1125" w:rsidRPr="003C1125" w:rsidRDefault="003C1125" w:rsidP="00322E91">
      <w:pPr>
        <w:autoSpaceDE w:val="0"/>
        <w:autoSpaceDN w:val="0"/>
        <w:adjustRightInd w:val="0"/>
        <w:jc w:val="both"/>
        <w:rPr>
          <w:rFonts w:cstheme="minorHAnsi"/>
          <w:b/>
          <w:bCs/>
          <w:color w:val="009B51"/>
          <w:sz w:val="20"/>
          <w:szCs w:val="20"/>
        </w:rPr>
      </w:pP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 système de végétalisation décrit ci‐dessous est conforme aux Règles Professionnelles pour la conception et la réalisation des terrasses et toitures végétalisées édition n°2 novembre 2007 et fait l’objet d’un Cahier des Charges OPTIGREEN visé par un bureau de contrôle. Les Règles professionnelles viennent compléter les dispositions des NF</w:t>
      </w:r>
      <w:r w:rsidR="003C1125">
        <w:rPr>
          <w:rFonts w:cstheme="minorHAnsi"/>
          <w:color w:val="000000"/>
          <w:sz w:val="20"/>
          <w:szCs w:val="20"/>
        </w:rPr>
        <w:t>-</w:t>
      </w:r>
      <w:r w:rsidRPr="00322E91">
        <w:rPr>
          <w:rFonts w:cstheme="minorHAnsi"/>
          <w:color w:val="000000"/>
          <w:sz w:val="20"/>
          <w:szCs w:val="20"/>
        </w:rPr>
        <w:t>DTU de la série 43.</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085374" w:rsidP="00322E91">
      <w:pPr>
        <w:autoSpaceDE w:val="0"/>
        <w:autoSpaceDN w:val="0"/>
        <w:adjustRightInd w:val="0"/>
        <w:jc w:val="both"/>
        <w:rPr>
          <w:rFonts w:cstheme="minorHAnsi"/>
          <w:b/>
          <w:bCs/>
          <w:i/>
          <w:iCs/>
          <w:color w:val="000000"/>
          <w:sz w:val="20"/>
          <w:szCs w:val="20"/>
        </w:rPr>
      </w:pPr>
      <w:r>
        <w:rPr>
          <w:rFonts w:cstheme="minorHAnsi"/>
          <w:b/>
          <w:bCs/>
          <w:i/>
          <w:iCs/>
          <w:color w:val="000000"/>
          <w:sz w:val="20"/>
          <w:szCs w:val="20"/>
        </w:rPr>
        <w:t>CARACTÉRISTIQUES DU SYSTÈ</w:t>
      </w:r>
      <w:r w:rsidR="00322E91" w:rsidRPr="00322E91">
        <w:rPr>
          <w:rFonts w:cstheme="minorHAnsi"/>
          <w:b/>
          <w:bCs/>
          <w:i/>
          <w:iCs/>
          <w:color w:val="000000"/>
          <w:sz w:val="20"/>
          <w:szCs w:val="20"/>
        </w:rPr>
        <w:t>ME</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Poids du système à CME </w:t>
      </w:r>
      <w:r w:rsidRPr="00322E91">
        <w:rPr>
          <w:rFonts w:cstheme="minorHAnsi"/>
          <w:color w:val="000000"/>
          <w:sz w:val="20"/>
          <w:szCs w:val="20"/>
        </w:rPr>
        <w:t>: env. 95 kg/m² (+ charge de sécurité définie dans les RPTTV nov. 2007, selon support et pente)</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Hauteur du système </w:t>
      </w:r>
      <w:r w:rsidRPr="00322E91">
        <w:rPr>
          <w:rFonts w:cstheme="minorHAnsi"/>
          <w:color w:val="000000"/>
          <w:sz w:val="20"/>
          <w:szCs w:val="20"/>
        </w:rPr>
        <w:t>: env. 8 cm</w:t>
      </w:r>
    </w:p>
    <w:p w:rsidR="00322E91"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Capaci</w:t>
      </w:r>
      <w:r w:rsidR="005B5250">
        <w:rPr>
          <w:rFonts w:cstheme="minorHAnsi"/>
          <w:b/>
          <w:bCs/>
          <w:color w:val="000000"/>
          <w:sz w:val="20"/>
          <w:szCs w:val="20"/>
        </w:rPr>
        <w:t xml:space="preserve">té de rétention en eau </w:t>
      </w:r>
      <w:r w:rsidR="00D808C8">
        <w:rPr>
          <w:rFonts w:cstheme="minorHAnsi"/>
          <w:color w:val="000000"/>
          <w:sz w:val="20"/>
          <w:szCs w:val="20"/>
        </w:rPr>
        <w:t>: env. 32</w:t>
      </w:r>
      <w:r w:rsidRPr="00322E91">
        <w:rPr>
          <w:rFonts w:cstheme="minorHAnsi"/>
          <w:color w:val="000000"/>
          <w:sz w:val="20"/>
          <w:szCs w:val="20"/>
        </w:rPr>
        <w:t xml:space="preserve"> l/m²</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085374" w:rsidP="00322E91">
      <w:pPr>
        <w:autoSpaceDE w:val="0"/>
        <w:autoSpaceDN w:val="0"/>
        <w:adjustRightInd w:val="0"/>
        <w:jc w:val="both"/>
        <w:rPr>
          <w:rFonts w:cstheme="minorHAnsi"/>
          <w:b/>
          <w:bCs/>
          <w:i/>
          <w:iCs/>
          <w:color w:val="000000"/>
          <w:sz w:val="20"/>
          <w:szCs w:val="20"/>
        </w:rPr>
      </w:pPr>
      <w:r>
        <w:rPr>
          <w:rFonts w:cstheme="minorHAnsi"/>
          <w:b/>
          <w:bCs/>
          <w:i/>
          <w:iCs/>
          <w:color w:val="000000"/>
          <w:sz w:val="20"/>
          <w:szCs w:val="20"/>
        </w:rPr>
        <w:t>DESCRIPTIF DU SYSTÈ</w:t>
      </w:r>
      <w:r w:rsidR="00322E91" w:rsidRPr="00322E91">
        <w:rPr>
          <w:rFonts w:cstheme="minorHAnsi"/>
          <w:b/>
          <w:bCs/>
          <w:i/>
          <w:iCs/>
          <w:color w:val="000000"/>
          <w:sz w:val="20"/>
          <w:szCs w:val="20"/>
        </w:rPr>
        <w:t>ME</w:t>
      </w:r>
    </w:p>
    <w:p w:rsidR="00D808C8" w:rsidRPr="00D808C8" w:rsidRDefault="00D808C8" w:rsidP="00D808C8">
      <w:pPr>
        <w:autoSpaceDE w:val="0"/>
        <w:autoSpaceDN w:val="0"/>
        <w:adjustRightInd w:val="0"/>
        <w:jc w:val="both"/>
        <w:rPr>
          <w:rFonts w:cstheme="minorHAnsi"/>
          <w:color w:val="000000"/>
          <w:sz w:val="20"/>
          <w:szCs w:val="20"/>
        </w:rPr>
      </w:pPr>
      <w:r>
        <w:rPr>
          <w:rFonts w:cstheme="minorHAnsi"/>
          <w:color w:val="000000"/>
          <w:sz w:val="20"/>
          <w:szCs w:val="20"/>
        </w:rPr>
        <w:t xml:space="preserve">- </w:t>
      </w:r>
      <w:r w:rsidRPr="00D808C8">
        <w:rPr>
          <w:rFonts w:cstheme="minorHAnsi"/>
          <w:b/>
          <w:color w:val="000000"/>
          <w:sz w:val="20"/>
          <w:szCs w:val="20"/>
          <w:u w:val="single"/>
        </w:rPr>
        <w:t>TOITVERT PACK</w:t>
      </w:r>
      <w:r w:rsidRPr="00D808C8">
        <w:rPr>
          <w:rFonts w:cstheme="minorHAnsi"/>
          <w:color w:val="000000"/>
          <w:sz w:val="20"/>
          <w:szCs w:val="20"/>
        </w:rPr>
        <w:t xml:space="preserve">, bac "tout-en-un" </w:t>
      </w:r>
      <w:proofErr w:type="spellStart"/>
      <w:r w:rsidRPr="00D808C8">
        <w:rPr>
          <w:rFonts w:cstheme="minorHAnsi"/>
          <w:color w:val="000000"/>
          <w:sz w:val="20"/>
          <w:szCs w:val="20"/>
        </w:rPr>
        <w:t>précultivé</w:t>
      </w:r>
      <w:proofErr w:type="spellEnd"/>
      <w:r w:rsidRPr="00D808C8">
        <w:rPr>
          <w:rFonts w:cstheme="minorHAnsi"/>
          <w:color w:val="000000"/>
          <w:sz w:val="20"/>
          <w:szCs w:val="20"/>
        </w:rPr>
        <w:t xml:space="preserve">, composé de 4 à 6 variétés de sédums </w:t>
      </w:r>
      <w:r>
        <w:rPr>
          <w:rFonts w:cstheme="minorHAnsi"/>
          <w:color w:val="000000"/>
          <w:sz w:val="20"/>
          <w:szCs w:val="20"/>
        </w:rPr>
        <w:t xml:space="preserve">minimum </w:t>
      </w:r>
      <w:r w:rsidRPr="00D808C8">
        <w:rPr>
          <w:rFonts w:cstheme="minorHAnsi"/>
          <w:color w:val="000000"/>
          <w:sz w:val="20"/>
          <w:szCs w:val="20"/>
        </w:rPr>
        <w:t>(selon liste végétale OPTIGREEN). Bac en polypropylène 100% recyclable, traité anti-UV. Dimensions : 45 x 50</w:t>
      </w:r>
      <w:r>
        <w:rPr>
          <w:rFonts w:cstheme="minorHAnsi"/>
          <w:color w:val="000000"/>
          <w:sz w:val="20"/>
          <w:szCs w:val="20"/>
        </w:rPr>
        <w:t xml:space="preserve"> x 8</w:t>
      </w:r>
      <w:r w:rsidRPr="00D808C8">
        <w:rPr>
          <w:rFonts w:cstheme="minorHAnsi"/>
          <w:color w:val="000000"/>
          <w:sz w:val="20"/>
          <w:szCs w:val="20"/>
        </w:rPr>
        <w:t xml:space="preserve"> cm. Substrat de re</w:t>
      </w:r>
      <w:r>
        <w:rPr>
          <w:rFonts w:cstheme="minorHAnsi"/>
          <w:color w:val="000000"/>
          <w:sz w:val="20"/>
          <w:szCs w:val="20"/>
        </w:rPr>
        <w:t>mplissage  à dominante minérale</w:t>
      </w:r>
      <w:r w:rsidRPr="00D808C8">
        <w:rPr>
          <w:rFonts w:cstheme="minorHAnsi"/>
          <w:color w:val="000000"/>
          <w:sz w:val="20"/>
          <w:szCs w:val="20"/>
        </w:rPr>
        <w:t xml:space="preserve">, masse volumique (à CME) : 1250 kg/m3. </w:t>
      </w:r>
      <w:r>
        <w:rPr>
          <w:rFonts w:cstheme="minorHAnsi"/>
          <w:color w:val="000000"/>
          <w:sz w:val="20"/>
          <w:szCs w:val="20"/>
        </w:rPr>
        <w:t>Poids à CME : env. 95 kg/m²</w:t>
      </w:r>
    </w:p>
    <w:p w:rsidR="00D808C8" w:rsidRPr="00D808C8" w:rsidRDefault="00D808C8" w:rsidP="00D808C8">
      <w:pPr>
        <w:autoSpaceDE w:val="0"/>
        <w:autoSpaceDN w:val="0"/>
        <w:adjustRightInd w:val="0"/>
        <w:jc w:val="both"/>
        <w:rPr>
          <w:rFonts w:cstheme="minorHAnsi"/>
          <w:color w:val="000000"/>
          <w:sz w:val="20"/>
          <w:szCs w:val="20"/>
        </w:rPr>
      </w:pPr>
      <w:r w:rsidRPr="00D808C8">
        <w:rPr>
          <w:rFonts w:cstheme="minorHAnsi"/>
          <w:color w:val="000000"/>
          <w:sz w:val="20"/>
          <w:szCs w:val="20"/>
        </w:rPr>
        <w:t xml:space="preserve">- </w:t>
      </w:r>
      <w:r w:rsidRPr="00D808C8">
        <w:rPr>
          <w:rFonts w:cstheme="minorHAnsi"/>
          <w:b/>
          <w:bCs/>
          <w:color w:val="000000"/>
          <w:sz w:val="20"/>
          <w:szCs w:val="20"/>
          <w:u w:val="single"/>
        </w:rPr>
        <w:t>Couche de protection</w:t>
      </w:r>
      <w:r w:rsidRPr="00D808C8">
        <w:rPr>
          <w:rFonts w:cstheme="minorHAnsi"/>
          <w:color w:val="000000"/>
          <w:sz w:val="20"/>
          <w:szCs w:val="20"/>
        </w:rPr>
        <w:t xml:space="preserve"> (facultative sur étanchéité bitumineuse et asphalte) : Géotextile absorbant de protection RMS300, non tissé en fibres synthétiques recyclées, imputrescible. Rétention d'eau : env. 2 l/m². Masse surfacique : 300 g/m².</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085374" w:rsidP="00322E91">
      <w:pPr>
        <w:autoSpaceDE w:val="0"/>
        <w:autoSpaceDN w:val="0"/>
        <w:adjustRightInd w:val="0"/>
        <w:jc w:val="both"/>
        <w:rPr>
          <w:rFonts w:cstheme="minorHAnsi"/>
          <w:b/>
          <w:bCs/>
          <w:i/>
          <w:iCs/>
          <w:color w:val="000000"/>
          <w:sz w:val="20"/>
          <w:szCs w:val="20"/>
        </w:rPr>
      </w:pPr>
      <w:r>
        <w:rPr>
          <w:rFonts w:cstheme="minorHAnsi"/>
          <w:b/>
          <w:bCs/>
          <w:i/>
          <w:iCs/>
          <w:color w:val="000000"/>
          <w:sz w:val="20"/>
          <w:szCs w:val="20"/>
        </w:rPr>
        <w:t>TRAITEMENT DES PÉRIPHÉ</w:t>
      </w:r>
      <w:r w:rsidR="00322E91" w:rsidRPr="00322E91">
        <w:rPr>
          <w:rFonts w:cstheme="minorHAnsi"/>
          <w:b/>
          <w:bCs/>
          <w:i/>
          <w:iCs/>
          <w:color w:val="000000"/>
          <w:sz w:val="20"/>
          <w:szCs w:val="20"/>
        </w:rPr>
        <w:t xml:space="preserve">RIES ET AUTOUR </w:t>
      </w:r>
      <w:r>
        <w:rPr>
          <w:rFonts w:cstheme="minorHAnsi"/>
          <w:b/>
          <w:bCs/>
          <w:i/>
          <w:iCs/>
          <w:color w:val="000000"/>
          <w:sz w:val="20"/>
          <w:szCs w:val="20"/>
        </w:rPr>
        <w:t>DES É</w:t>
      </w:r>
      <w:r w:rsidR="00322E91" w:rsidRPr="00322E91">
        <w:rPr>
          <w:rFonts w:cstheme="minorHAnsi"/>
          <w:b/>
          <w:bCs/>
          <w:i/>
          <w:iCs/>
          <w:color w:val="000000"/>
          <w:sz w:val="20"/>
          <w:szCs w:val="20"/>
        </w:rPr>
        <w:t>VACUATIONS DES EAUX PLUVIALES</w:t>
      </w:r>
    </w:p>
    <w:p w:rsidR="00322E91" w:rsidRPr="00322E91" w:rsidRDefault="00D808C8" w:rsidP="00322E91">
      <w:pPr>
        <w:autoSpaceDE w:val="0"/>
        <w:autoSpaceDN w:val="0"/>
        <w:adjustRightInd w:val="0"/>
        <w:jc w:val="both"/>
        <w:rPr>
          <w:rFonts w:cstheme="minorHAnsi"/>
          <w:color w:val="000000"/>
          <w:sz w:val="20"/>
          <w:szCs w:val="20"/>
        </w:rPr>
      </w:pPr>
      <w:r>
        <w:rPr>
          <w:rFonts w:cstheme="minorHAnsi"/>
          <w:color w:val="000000"/>
          <w:sz w:val="20"/>
          <w:szCs w:val="20"/>
        </w:rPr>
        <w:t xml:space="preserve">Mise en place </w:t>
      </w:r>
      <w:r w:rsidR="00322E91" w:rsidRPr="00322E91">
        <w:rPr>
          <w:rFonts w:cstheme="minorHAnsi"/>
          <w:color w:val="000000"/>
          <w:sz w:val="20"/>
          <w:szCs w:val="20"/>
        </w:rPr>
        <w:t>d'une zone stérile de 40 cm minimum de largeur, conformément au Cahier des Charges OPTIGREEN.</w:t>
      </w:r>
    </w:p>
    <w:p w:rsidR="00322E91" w:rsidRPr="00322E91" w:rsidRDefault="00D808C8" w:rsidP="00322E91">
      <w:pPr>
        <w:autoSpaceDE w:val="0"/>
        <w:autoSpaceDN w:val="0"/>
        <w:adjustRightInd w:val="0"/>
        <w:jc w:val="both"/>
        <w:rPr>
          <w:rFonts w:cstheme="minorHAnsi"/>
          <w:color w:val="000000"/>
          <w:sz w:val="20"/>
          <w:szCs w:val="20"/>
        </w:rPr>
      </w:pPr>
      <w:r>
        <w:rPr>
          <w:rFonts w:cstheme="minorHAnsi"/>
          <w:color w:val="000000"/>
          <w:sz w:val="20"/>
          <w:szCs w:val="20"/>
        </w:rPr>
        <w:t xml:space="preserve">Avec le TOITVERT PACK, la </w:t>
      </w:r>
      <w:r w:rsidR="00322E91" w:rsidRPr="00322E91">
        <w:rPr>
          <w:rFonts w:cstheme="minorHAnsi"/>
          <w:color w:val="000000"/>
          <w:sz w:val="20"/>
          <w:szCs w:val="20"/>
        </w:rPr>
        <w:t xml:space="preserve">zone stérile </w:t>
      </w:r>
      <w:r>
        <w:rPr>
          <w:rFonts w:cstheme="minorHAnsi"/>
          <w:color w:val="000000"/>
          <w:sz w:val="20"/>
          <w:szCs w:val="20"/>
        </w:rPr>
        <w:t xml:space="preserve">est </w:t>
      </w:r>
      <w:r w:rsidR="00322E91" w:rsidRPr="00322E91">
        <w:rPr>
          <w:rFonts w:cstheme="minorHAnsi"/>
          <w:color w:val="000000"/>
          <w:sz w:val="20"/>
          <w:szCs w:val="20"/>
        </w:rPr>
        <w:t>facultative si la hauteur des relevés d'étanchéité au-dessus de la protection végétale reste conforme aux NF‐DTU.</w:t>
      </w: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 xml:space="preserve">Au droit des EEP et en </w:t>
      </w:r>
      <w:r w:rsidR="00D808C8">
        <w:rPr>
          <w:rFonts w:cstheme="minorHAnsi"/>
          <w:color w:val="000000"/>
          <w:sz w:val="20"/>
          <w:szCs w:val="20"/>
        </w:rPr>
        <w:t xml:space="preserve">noue de pente de fil d'eau ≤ 2%, la zone stérile reste </w:t>
      </w:r>
      <w:r w:rsidRPr="00322E91">
        <w:rPr>
          <w:rFonts w:cstheme="minorHAnsi"/>
          <w:color w:val="000000"/>
          <w:sz w:val="20"/>
          <w:szCs w:val="20"/>
        </w:rPr>
        <w:t>obligatoire.</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ENTRETIEN</w:t>
      </w:r>
    </w:p>
    <w:p w:rsid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L'entretien est obligatoire. L'entretien sur la période de parachèvement (période entre l'installation de la végétalisation et la réception de l'ouvrage) fait partie intégrante du marché de travaux. Après réception, l'entretien courant doit faire l'objet d'un contrat avec le maître d'ouvrage. La fréquence minimale d'intervention est de 1 à 2 passages/an (cf. Règles Professionnelles).</w:t>
      </w:r>
    </w:p>
    <w:p w:rsidR="003C1125" w:rsidRPr="00322E91" w:rsidRDefault="003C1125" w:rsidP="00322E91">
      <w:pPr>
        <w:autoSpaceDE w:val="0"/>
        <w:autoSpaceDN w:val="0"/>
        <w:adjustRightInd w:val="0"/>
        <w:jc w:val="both"/>
        <w:rPr>
          <w:rFonts w:cstheme="minorHAnsi"/>
          <w:color w:val="000000"/>
          <w:sz w:val="20"/>
          <w:szCs w:val="20"/>
        </w:rPr>
      </w:pPr>
    </w:p>
    <w:p w:rsidR="00322E91" w:rsidRPr="00322E91" w:rsidRDefault="00322E91" w:rsidP="00322E91">
      <w:pPr>
        <w:autoSpaceDE w:val="0"/>
        <w:autoSpaceDN w:val="0"/>
        <w:adjustRightInd w:val="0"/>
        <w:jc w:val="both"/>
        <w:rPr>
          <w:rFonts w:cstheme="minorHAnsi"/>
          <w:b/>
          <w:bCs/>
          <w:i/>
          <w:iCs/>
          <w:color w:val="000000"/>
          <w:sz w:val="20"/>
          <w:szCs w:val="20"/>
        </w:rPr>
      </w:pPr>
      <w:r w:rsidRPr="00322E91">
        <w:rPr>
          <w:rFonts w:cstheme="minorHAnsi"/>
          <w:b/>
          <w:bCs/>
          <w:i/>
          <w:iCs/>
          <w:color w:val="000000"/>
          <w:sz w:val="20"/>
          <w:szCs w:val="20"/>
        </w:rPr>
        <w:t>ARROSAGE</w:t>
      </w:r>
    </w:p>
    <w:p w:rsidR="00322E91" w:rsidRPr="00322E91" w:rsidRDefault="00322E91" w:rsidP="00322E91">
      <w:pPr>
        <w:autoSpaceDE w:val="0"/>
        <w:autoSpaceDN w:val="0"/>
        <w:adjustRightInd w:val="0"/>
        <w:jc w:val="both"/>
        <w:rPr>
          <w:rFonts w:cstheme="minorHAnsi"/>
          <w:color w:val="000000"/>
          <w:sz w:val="20"/>
          <w:szCs w:val="20"/>
        </w:rPr>
      </w:pPr>
      <w:r w:rsidRPr="00322E91">
        <w:rPr>
          <w:rFonts w:cstheme="minorHAnsi"/>
          <w:color w:val="000000"/>
          <w:sz w:val="20"/>
          <w:szCs w:val="20"/>
        </w:rPr>
        <w:t>Le maître d'</w:t>
      </w:r>
      <w:r w:rsidR="00A11091" w:rsidRPr="00322E91">
        <w:rPr>
          <w:rFonts w:cstheme="minorHAnsi"/>
          <w:color w:val="000000"/>
          <w:sz w:val="20"/>
          <w:szCs w:val="20"/>
        </w:rPr>
        <w:t>œuvre</w:t>
      </w:r>
      <w:r w:rsidRPr="00322E91">
        <w:rPr>
          <w:rFonts w:cstheme="minorHAnsi"/>
          <w:color w:val="000000"/>
          <w:sz w:val="20"/>
          <w:szCs w:val="20"/>
        </w:rPr>
        <w:t xml:space="preserve"> doit prévoir un ou plusieurs point(s) d'eau de débit dimensionné à la surface végétalisée, disponible(s) au niveau de la terrasse au moment des travaux et pendant toute la d</w:t>
      </w:r>
      <w:r w:rsidR="00A11091">
        <w:rPr>
          <w:rFonts w:cstheme="minorHAnsi"/>
          <w:color w:val="000000"/>
          <w:sz w:val="20"/>
          <w:szCs w:val="20"/>
        </w:rPr>
        <w:t xml:space="preserve">urée de vie de l'ouvrage (Débit </w:t>
      </w:r>
      <w:r w:rsidRPr="00322E91">
        <w:rPr>
          <w:rFonts w:cstheme="minorHAnsi"/>
          <w:color w:val="000000"/>
          <w:sz w:val="20"/>
          <w:szCs w:val="20"/>
        </w:rPr>
        <w:t>min. 2,5 m3/h ‐ Pr</w:t>
      </w:r>
      <w:r w:rsidR="00085374">
        <w:rPr>
          <w:rFonts w:cstheme="minorHAnsi"/>
          <w:color w:val="000000"/>
          <w:sz w:val="20"/>
          <w:szCs w:val="20"/>
        </w:rPr>
        <w:t>ession dynamique minimum 3 bars</w:t>
      </w:r>
      <w:r w:rsidRPr="00322E91">
        <w:rPr>
          <w:rFonts w:cstheme="minorHAnsi"/>
          <w:color w:val="000000"/>
          <w:sz w:val="20"/>
          <w:szCs w:val="20"/>
        </w:rPr>
        <w:t>). Tout point de la terrasse devra être situé à moins de 30 mètres d'un point d'eau.</w:t>
      </w:r>
    </w:p>
    <w:p w:rsidR="00322E91" w:rsidRPr="00322E91" w:rsidRDefault="00085374" w:rsidP="00322E91">
      <w:pPr>
        <w:autoSpaceDE w:val="0"/>
        <w:autoSpaceDN w:val="0"/>
        <w:adjustRightInd w:val="0"/>
        <w:jc w:val="both"/>
        <w:rPr>
          <w:rFonts w:cstheme="minorHAnsi"/>
          <w:color w:val="000000"/>
          <w:sz w:val="20"/>
          <w:szCs w:val="20"/>
        </w:rPr>
      </w:pPr>
      <w:r>
        <w:rPr>
          <w:rFonts w:cstheme="minorHAnsi"/>
          <w:b/>
          <w:bCs/>
          <w:color w:val="000000"/>
          <w:sz w:val="20"/>
          <w:szCs w:val="20"/>
        </w:rPr>
        <w:t>À</w:t>
      </w:r>
      <w:r w:rsidR="00322E91" w:rsidRPr="00322E91">
        <w:rPr>
          <w:rFonts w:cstheme="minorHAnsi"/>
          <w:b/>
          <w:bCs/>
          <w:color w:val="000000"/>
          <w:sz w:val="20"/>
          <w:szCs w:val="20"/>
        </w:rPr>
        <w:t xml:space="preserve"> la mise en </w:t>
      </w:r>
      <w:r w:rsidR="00A11091" w:rsidRPr="00322E91">
        <w:rPr>
          <w:rFonts w:cstheme="minorHAnsi"/>
          <w:b/>
          <w:bCs/>
          <w:color w:val="000000"/>
          <w:sz w:val="20"/>
          <w:szCs w:val="20"/>
        </w:rPr>
        <w:t>œuvre</w:t>
      </w:r>
      <w:r w:rsidR="00322E91" w:rsidRPr="00322E91">
        <w:rPr>
          <w:rFonts w:cstheme="minorHAnsi"/>
          <w:b/>
          <w:bCs/>
          <w:color w:val="000000"/>
          <w:sz w:val="20"/>
          <w:szCs w:val="20"/>
        </w:rPr>
        <w:t xml:space="preserve"> </w:t>
      </w:r>
      <w:r w:rsidR="00322E91" w:rsidRPr="00322E91">
        <w:rPr>
          <w:rFonts w:cstheme="minorHAnsi"/>
          <w:color w:val="000000"/>
          <w:sz w:val="20"/>
          <w:szCs w:val="20"/>
        </w:rPr>
        <w:t xml:space="preserve">: L'arrosage de la végétalisation, jusqu'à saturation du système, est indispensable à la mise en </w:t>
      </w:r>
      <w:r w:rsidR="00A11091" w:rsidRPr="00322E91">
        <w:rPr>
          <w:rFonts w:cstheme="minorHAnsi"/>
          <w:color w:val="000000"/>
          <w:sz w:val="20"/>
          <w:szCs w:val="20"/>
        </w:rPr>
        <w:t>œuvre</w:t>
      </w:r>
      <w:r w:rsidR="00322E91" w:rsidRPr="00322E91">
        <w:rPr>
          <w:rFonts w:cstheme="minorHAnsi"/>
          <w:color w:val="000000"/>
          <w:sz w:val="20"/>
          <w:szCs w:val="20"/>
        </w:rPr>
        <w:t>. Celui‐ci doit être prolongé les premières semaines si les conditions climatiques l'imposent.</w:t>
      </w:r>
    </w:p>
    <w:p w:rsidR="008D23C6" w:rsidRDefault="00322E91" w:rsidP="00322E91">
      <w:pPr>
        <w:autoSpaceDE w:val="0"/>
        <w:autoSpaceDN w:val="0"/>
        <w:adjustRightInd w:val="0"/>
        <w:jc w:val="both"/>
        <w:rPr>
          <w:rFonts w:cstheme="minorHAnsi"/>
          <w:color w:val="000000"/>
          <w:sz w:val="20"/>
          <w:szCs w:val="20"/>
        </w:rPr>
      </w:pPr>
      <w:r w:rsidRPr="00322E91">
        <w:rPr>
          <w:rFonts w:cstheme="minorHAnsi"/>
          <w:b/>
          <w:bCs/>
          <w:color w:val="000000"/>
          <w:sz w:val="20"/>
          <w:szCs w:val="20"/>
        </w:rPr>
        <w:t xml:space="preserve">Au‐delà de la période d'installation </w:t>
      </w:r>
      <w:r w:rsidRPr="00322E91">
        <w:rPr>
          <w:rFonts w:cstheme="minorHAnsi"/>
          <w:color w:val="000000"/>
          <w:sz w:val="20"/>
          <w:szCs w:val="20"/>
        </w:rPr>
        <w:t>: Bien que le système fonctionne de manière autonome, un apport d'eau peut s'avérer nécessaire en période de sécheresse prolongée exceptionnelle ou de canicule.</w:t>
      </w:r>
    </w:p>
    <w:p w:rsidR="00A11091" w:rsidRPr="00322E91" w:rsidRDefault="00A11091" w:rsidP="00322E91">
      <w:pPr>
        <w:autoSpaceDE w:val="0"/>
        <w:autoSpaceDN w:val="0"/>
        <w:adjustRightInd w:val="0"/>
        <w:jc w:val="both"/>
        <w:rPr>
          <w:rFonts w:cstheme="minorHAnsi"/>
          <w:color w:val="000000"/>
          <w:sz w:val="20"/>
          <w:szCs w:val="20"/>
        </w:rPr>
      </w:pPr>
      <w:r>
        <w:rPr>
          <w:rFonts w:cstheme="minorHAnsi"/>
          <w:color w:val="000000"/>
          <w:sz w:val="20"/>
          <w:szCs w:val="20"/>
        </w:rPr>
        <w:t>La mise en œuvre d’un système d’arrosage automatique est obligatoire en région sud et méditerranéenne (nous consulter).</w:t>
      </w:r>
      <w:bookmarkStart w:id="0" w:name="_GoBack"/>
      <w:bookmarkEnd w:id="0"/>
    </w:p>
    <w:sectPr w:rsidR="00A11091" w:rsidRPr="00322E91" w:rsidSect="00A11091">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700"/>
    <w:multiLevelType w:val="hybridMultilevel"/>
    <w:tmpl w:val="84A648B2"/>
    <w:lvl w:ilvl="0" w:tplc="E75EA1C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1TOFPqKIYf1p+Rxvt3vMmc+qIBs=" w:salt="RH4qoc0oioIoRRN0uqFMR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91"/>
    <w:rsid w:val="00085374"/>
    <w:rsid w:val="00322E91"/>
    <w:rsid w:val="003C1125"/>
    <w:rsid w:val="005B5250"/>
    <w:rsid w:val="007E054D"/>
    <w:rsid w:val="007F13C1"/>
    <w:rsid w:val="008D23C6"/>
    <w:rsid w:val="00A11091"/>
    <w:rsid w:val="00C27096"/>
    <w:rsid w:val="00D808C8"/>
    <w:rsid w:val="00F163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F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2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3F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5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2546</Characters>
  <Application>Microsoft Office Word</Application>
  <DocSecurity>8</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ToitVert</dc:creator>
  <cp:lastModifiedBy>Toitvert 3</cp:lastModifiedBy>
  <cp:revision>4</cp:revision>
  <dcterms:created xsi:type="dcterms:W3CDTF">2017-10-16T13:35:00Z</dcterms:created>
  <dcterms:modified xsi:type="dcterms:W3CDTF">2017-10-16T13:36:00Z</dcterms:modified>
</cp:coreProperties>
</file>